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46" w:rsidRPr="004D1875" w:rsidRDefault="004D1875" w:rsidP="004D1875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D1875">
        <w:rPr>
          <w:rFonts w:asciiTheme="majorBidi" w:hAnsiTheme="majorBidi" w:cstheme="majorBidi"/>
          <w:sz w:val="28"/>
          <w:szCs w:val="28"/>
          <w:rtl/>
        </w:rPr>
        <w:t>שלום צוות יקר,</w:t>
      </w:r>
    </w:p>
    <w:p w:rsidR="004D1875" w:rsidRPr="004D1875" w:rsidRDefault="004D1875" w:rsidP="004D1875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4D1875">
        <w:rPr>
          <w:rFonts w:asciiTheme="majorBidi" w:hAnsiTheme="majorBidi" w:cstheme="majorBidi"/>
          <w:sz w:val="28"/>
          <w:szCs w:val="28"/>
          <w:rtl/>
        </w:rPr>
        <w:t>לנוחותכן, רשימת החומר הלימודי בתנ"ך לשנה זו בשכבות השונות (מה שמסומן באדום- צריך לקבל דגש בכיתה).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יש גם רשימת מיומנויות שחייבים ללמד את התלמידים לפני ובמהלך לימוד הפרקים.</w:t>
      </w:r>
    </w:p>
    <w:p w:rsidR="004D1875" w:rsidRPr="004D1875" w:rsidRDefault="004D1875" w:rsidP="004D1875">
      <w:pPr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4D1875" w:rsidRPr="004D1875" w:rsidRDefault="004D1875" w:rsidP="004D1875">
      <w:pPr>
        <w:spacing w:after="0"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hAnsiTheme="majorBidi" w:cstheme="majorBidi"/>
          <w:sz w:val="24"/>
          <w:szCs w:val="24"/>
          <w:u w:val="single"/>
          <w:rtl/>
        </w:rPr>
        <w:t>שכבה ז</w:t>
      </w:r>
    </w:p>
    <w:p w:rsidR="004D1875" w:rsidRPr="004D1875" w:rsidRDefault="004D1875" w:rsidP="004D1875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מחצית א' :</w:t>
      </w:r>
    </w:p>
    <w:p w:rsidR="004D1875" w:rsidRPr="004D1875" w:rsidRDefault="004D1875" w:rsidP="004D1875">
      <w:pPr>
        <w:spacing w:after="0" w:line="360" w:lineRule="auto"/>
        <w:rPr>
          <w:rFonts w:asciiTheme="majorBidi" w:eastAsia="Times New Roman" w:hAnsiTheme="majorBidi" w:cstheme="majorBidi"/>
          <w:color w:val="FF0000"/>
          <w:sz w:val="24"/>
          <w:szCs w:val="24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שמות: 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א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',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ב', ג', ד' 1 - 23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ה' ו' 1 - 14,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ז'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ח', י"א, י"ב 1 - 42,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י"ד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ט"ו, ט"ז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י"ח,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י"ט, כ', ל"ב</w:t>
      </w:r>
    </w:p>
    <w:p w:rsidR="004D1875" w:rsidRPr="004D1875" w:rsidRDefault="004D1875" w:rsidP="004D1875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במדבר: 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י"ג, י"ד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 xml:space="preserve">כ' 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>(להתייחס לשמות י"ז 1 – 7),  כ"ב, כ"ג</w:t>
      </w: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 </w:t>
      </w: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br/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דברים: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ל"ד </w:t>
      </w:r>
    </w:p>
    <w:p w:rsidR="004D1875" w:rsidRPr="004D1875" w:rsidRDefault="004D1875" w:rsidP="004D1875">
      <w:pPr>
        <w:spacing w:after="0" w:line="360" w:lineRule="auto"/>
        <w:ind w:left="-5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>תהלים: קי"ד או כ ל פרק תהילים אחר לבחירת המורה</w:t>
      </w:r>
    </w:p>
    <w:p w:rsidR="004D1875" w:rsidRPr="004D1875" w:rsidRDefault="004D1875" w:rsidP="004D1875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4D1875" w:rsidRPr="004D1875" w:rsidRDefault="004D1875" w:rsidP="004D1875">
      <w:pPr>
        <w:spacing w:after="0" w:line="360" w:lineRule="auto"/>
        <w:ind w:left="-5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 xml:space="preserve">מחצית ב' : </w:t>
      </w:r>
    </w:p>
    <w:p w:rsidR="004D1875" w:rsidRPr="004D1875" w:rsidRDefault="004D1875" w:rsidP="004D1875">
      <w:pPr>
        <w:spacing w:after="0" w:line="360" w:lineRule="auto"/>
        <w:ind w:left="-5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(חלק מהתוכנית לכתה ח')</w:t>
      </w:r>
    </w:p>
    <w:p w:rsidR="004D1875" w:rsidRPr="004D1875" w:rsidRDefault="004D1875" w:rsidP="004D1875">
      <w:pPr>
        <w:spacing w:after="0" w:line="360" w:lineRule="auto"/>
        <w:ind w:left="-58"/>
        <w:rPr>
          <w:rFonts w:asciiTheme="majorBidi" w:eastAsia="Times New Roman" w:hAnsiTheme="majorBidi" w:cstheme="majorBidi"/>
          <w:sz w:val="24"/>
          <w:szCs w:val="24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יהושע: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א'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ב', ו',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ט'</w:t>
      </w:r>
    </w:p>
    <w:p w:rsidR="004D1875" w:rsidRPr="004D1875" w:rsidRDefault="004D1875" w:rsidP="004D1875">
      <w:pPr>
        <w:spacing w:after="0" w:line="360" w:lineRule="auto"/>
        <w:ind w:left="-58"/>
        <w:rPr>
          <w:rFonts w:asciiTheme="majorBidi" w:eastAsia="Times New Roman" w:hAnsiTheme="majorBidi" w:cstheme="majorBidi"/>
          <w:sz w:val="24"/>
          <w:szCs w:val="24"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שופטים: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ב ' 6 - 19, ג' 12 – 30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>, ד', ה' ,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ו', ז', ח', ט' 1 – 21, 50 – 55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 xml:space="preserve">, </w:t>
      </w: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>י"ז י"ח</w:t>
      </w:r>
    </w:p>
    <w:p w:rsidR="004D1875" w:rsidRP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4D1875">
        <w:rPr>
          <w:rFonts w:asciiTheme="majorBidi" w:eastAsia="Times New Roman" w:hAnsiTheme="majorBidi" w:cstheme="majorBidi"/>
          <w:color w:val="FF0000"/>
          <w:sz w:val="24"/>
          <w:szCs w:val="24"/>
          <w:rtl/>
        </w:rPr>
        <w:t xml:space="preserve">     משלי: ט"ו 1 – 7 </w:t>
      </w:r>
      <w:r w:rsidRPr="004D1875">
        <w:rPr>
          <w:rFonts w:asciiTheme="majorBidi" w:eastAsia="Times New Roman" w:hAnsiTheme="majorBidi" w:cstheme="majorBidi"/>
          <w:sz w:val="24"/>
          <w:szCs w:val="24"/>
          <w:rtl/>
        </w:rPr>
        <w:t>(ללמד בהקשר לדברי גדעון לאיש אפרים בשופטים ח' 1 – 4)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Pr="004D1875" w:rsidRDefault="004D1875" w:rsidP="004D1875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מיומנויות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לימוד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וכישורי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חשיבה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בכיתה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</w:rPr>
        <w:t>ז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':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ידיעת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סימני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הניקוד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ושימוש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בהם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לקריאה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רהוטה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                      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טעמי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מקרא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בסיסיים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(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זקף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אתנחתא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וסוף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פסוק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)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ושימוש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בהם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לקריאה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רהוטה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ידיעת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גימטרייה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סדר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הספרים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הבנת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ההיפוך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הבנת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הכיוון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הבנת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הכינויים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החבורים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טיפוח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יכולת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השוואה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טיפוח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יכולת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קריאת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מפה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P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P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/>
          <w:sz w:val="24"/>
          <w:szCs w:val="24"/>
          <w:u w:val="single"/>
          <w:rtl/>
        </w:rPr>
        <w:t>שכבה ט</w:t>
      </w:r>
    </w:p>
    <w:p w:rsidR="004D1875" w:rsidRP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מחצית א:</w:t>
      </w:r>
    </w:p>
    <w:p w:rsidR="004D1875" w:rsidRPr="004D1875" w:rsidRDefault="004D1875" w:rsidP="004D1875">
      <w:pPr>
        <w:spacing w:after="0" w:line="360" w:lineRule="auto"/>
        <w:ind w:left="-288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שמואל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':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'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' 11 – 21,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ג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ט</w:t>
      </w:r>
    </w:p>
    <w:p w:rsidR="004D1875" w:rsidRPr="004D1875" w:rsidRDefault="004D1875" w:rsidP="004D1875">
      <w:pPr>
        <w:spacing w:after="0" w:line="360" w:lineRule="auto"/>
        <w:ind w:left="-288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דברים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: </w:t>
      </w:r>
      <w:r w:rsidRPr="004D1875">
        <w:rPr>
          <w:rFonts w:ascii="Times New Roman" w:eastAsia="Times New Roman" w:hAnsi="Times New Roman" w:cs="David" w:hint="eastAsia"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color w:val="FF0000"/>
          <w:sz w:val="24"/>
          <w:szCs w:val="24"/>
          <w:rtl/>
        </w:rPr>
        <w:t xml:space="preserve"> 14 – 20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מחצית ב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שמואל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' :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כ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כ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לא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שמואל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':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'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ג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cs"/>
          <w:sz w:val="24"/>
          <w:szCs w:val="24"/>
          <w:rtl/>
        </w:rPr>
        <w:t xml:space="preserve">ט'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ג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ד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21 – 33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</w:p>
    <w:p w:rsidR="004D1875" w:rsidRP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מלכים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': 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'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ג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',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' 1 – 32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תהילים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>: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נ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א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(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ללמד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בהקשר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לתוכחת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נתן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בשמ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"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)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או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כל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פרק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תהילים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אחר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לבחירת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המורה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</w:rPr>
      </w:pPr>
    </w:p>
    <w:p w:rsidR="004D1875" w:rsidRPr="004D1875" w:rsidRDefault="004D1875" w:rsidP="004D1875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מיומנויות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sz w:val="24"/>
          <w:szCs w:val="24"/>
          <w:rtl/>
        </w:rPr>
        <w:t>לימוד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: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כל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מה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שנלמד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בכיתה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ז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' </w:t>
      </w: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+ 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הקונקורדנציה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ואופן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השימוש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בה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ככלי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פרשני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ומסייע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;                              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האמצעי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הספרותי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של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מילה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מנחה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;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חספוסים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בכתוב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ודרכי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יישובם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;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תרגום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השבעים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,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קומראן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;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זיהוי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והכרת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נוסחה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חוזרת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בכתוב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ומגמתה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>;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הכרת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עמדות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שונות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במקרא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>;</w:t>
      </w:r>
    </w:p>
    <w:p w:rsidR="004D1875" w:rsidRPr="004D1875" w:rsidRDefault="004D1875" w:rsidP="004D1875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4D1875">
        <w:rPr>
          <w:rFonts w:ascii="Times New Roman" w:eastAsia="Times New Roman" w:hAnsi="Times New Roman" w:cs="David"/>
          <w:b/>
          <w:bCs/>
          <w:sz w:val="24"/>
          <w:szCs w:val="24"/>
          <w:rtl/>
        </w:rPr>
        <w:t xml:space="preserve">                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פיתוח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היכולת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לערוך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סיכום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שיעור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                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sz w:val="24"/>
          <w:szCs w:val="24"/>
          <w:rtl/>
        </w:rPr>
      </w:pP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לדעת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לערוך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סיכום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מאמר</w:t>
      </w:r>
      <w:r w:rsidRPr="004D1875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sz w:val="24"/>
          <w:szCs w:val="24"/>
          <w:rtl/>
        </w:rPr>
        <w:t>קצר</w:t>
      </w:r>
    </w:p>
    <w:p w:rsidR="004D1875" w:rsidRPr="004D1875" w:rsidRDefault="004D1875" w:rsidP="004D1875">
      <w:pPr>
        <w:tabs>
          <w:tab w:val="left" w:pos="826"/>
        </w:tabs>
        <w:spacing w:after="0" w:line="360" w:lineRule="auto"/>
        <w:ind w:left="226"/>
        <w:rPr>
          <w:rFonts w:ascii="Times New Roman" w:eastAsia="Times New Roman" w:hAnsi="Times New Roman" w:cs="David"/>
          <w:b/>
          <w:bCs/>
          <w:color w:val="FF0000"/>
          <w:sz w:val="24"/>
          <w:szCs w:val="24"/>
        </w:rPr>
      </w:pP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לדעת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</w:rPr>
        <w:t>לכתוב</w:t>
      </w:r>
      <w:r w:rsidRPr="004D1875">
        <w:rPr>
          <w:rFonts w:ascii="Times New Roman" w:eastAsia="Times New Roman" w:hAnsi="Times New Roman" w:cs="David"/>
          <w:b/>
          <w:bCs/>
          <w:color w:val="FF0000"/>
          <w:sz w:val="24"/>
          <w:szCs w:val="24"/>
          <w:rtl/>
        </w:rPr>
        <w:t xml:space="preserve"> </w:t>
      </w:r>
      <w:r w:rsidRPr="004D1875">
        <w:rPr>
          <w:rFonts w:ascii="Times New Roman" w:eastAsia="Times New Roman" w:hAnsi="Times New Roman" w:cs="David" w:hint="eastAsia"/>
          <w:b/>
          <w:bCs/>
          <w:color w:val="FF0000"/>
          <w:sz w:val="24"/>
          <w:szCs w:val="24"/>
          <w:rtl/>
        </w:rPr>
        <w:t>טעון</w:t>
      </w: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Default="004D1875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4D1875" w:rsidRPr="00E46641" w:rsidRDefault="00E46641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E4664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lastRenderedPageBreak/>
        <w:t>שכבה י:</w:t>
      </w:r>
    </w:p>
    <w:p w:rsidR="00E46641" w:rsidRPr="00E46641" w:rsidRDefault="00E46641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E4664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מחצית א:</w:t>
      </w:r>
    </w:p>
    <w:p w:rsidR="00E46641" w:rsidRPr="00E46641" w:rsidRDefault="00E4664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בראשית </w:t>
      </w:r>
      <w:r w:rsidRPr="00E46641">
        <w:rPr>
          <w:rFonts w:asciiTheme="majorBidi" w:eastAsia="Times New Roman" w:hAnsiTheme="majorBidi" w:cstheme="majorBidi"/>
          <w:sz w:val="24"/>
          <w:szCs w:val="24"/>
          <w:rtl/>
        </w:rPr>
        <w:t>א', ב', ג', ד', ו' 22-5, י"א 9-1</w:t>
      </w:r>
      <w:r w:rsidRPr="00E4664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, </w:t>
      </w:r>
      <w:r w:rsidRPr="00E46641">
        <w:rPr>
          <w:rFonts w:asciiTheme="majorBidi" w:eastAsia="Times New Roman" w:hAnsiTheme="majorBidi" w:cstheme="majorBidi"/>
          <w:sz w:val="24"/>
          <w:szCs w:val="24"/>
          <w:rtl/>
        </w:rPr>
        <w:t>י"א 26 – 32, י"ב, ט"ו, ט"ז, י"ח, כ"ב 19-1, כ"ה 19 - 34, כ"ז, כ"ט, ל' 25 – 26, ל"ב 22 – 32</w:t>
      </w:r>
      <w:r w:rsidRPr="00E46641">
        <w:rPr>
          <w:rFonts w:asciiTheme="majorBidi" w:eastAsia="Times New Roman" w:hAnsiTheme="majorBidi" w:cstheme="majorBidi" w:hint="cs"/>
          <w:sz w:val="24"/>
          <w:szCs w:val="24"/>
          <w:rtl/>
        </w:rPr>
        <w:t>.</w:t>
      </w:r>
    </w:p>
    <w:p w:rsidR="00E46641" w:rsidRDefault="00E46641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E46641" w:rsidRDefault="00E46641" w:rsidP="004D1875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E4664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מחצית ב</w:t>
      </w:r>
    </w:p>
    <w:p w:rsidR="00E46641" w:rsidRPr="00E46641" w:rsidRDefault="00E4664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חוק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עבד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דברים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ט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ו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18-12,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ויקרא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כ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ה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39 – 46,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קדושים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תהיו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ויקרא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ט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1 – 18, 32 – 37,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חוקי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יובל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ויקרא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כ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ה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8 – 23,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סדרי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שלטון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דברים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ט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ז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18 – 20,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ז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8 – 13. </w:t>
      </w:r>
    </w:p>
    <w:p w:rsidR="00E46641" w:rsidRPr="00E46641" w:rsidRDefault="00E4664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>
        <w:rPr>
          <w:rFonts w:asciiTheme="majorBidi" w:eastAsia="Times New Roman" w:hAnsiTheme="majorBidi" w:cs="Times New Roman" w:hint="cs"/>
          <w:sz w:val="24"/>
          <w:szCs w:val="24"/>
          <w:u w:val="single"/>
          <w:rtl/>
        </w:rPr>
        <w:t>וגם:</w:t>
      </w:r>
    </w:p>
    <w:p w:rsidR="00E46641" w:rsidRDefault="00E46641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חכמה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איוב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ח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',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ט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',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ל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ח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מ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' 5-1,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קהלת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: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ג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' 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א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 xml:space="preserve"> 7 – 10, 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י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"</w:t>
      </w:r>
      <w:r w:rsidRPr="00E46641">
        <w:rPr>
          <w:rFonts w:asciiTheme="majorBidi" w:eastAsia="Times New Roman" w:hAnsiTheme="majorBidi" w:cs="Times New Roman" w:hint="cs"/>
          <w:sz w:val="24"/>
          <w:szCs w:val="24"/>
          <w:rtl/>
        </w:rPr>
        <w:t>ב</w:t>
      </w:r>
      <w:r w:rsidRPr="00E46641">
        <w:rPr>
          <w:rFonts w:asciiTheme="majorBidi" w:eastAsia="Times New Roman" w:hAnsiTheme="majorBidi" w:cs="Times New Roman"/>
          <w:sz w:val="24"/>
          <w:szCs w:val="24"/>
          <w:rtl/>
        </w:rPr>
        <w:t>.</w:t>
      </w: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="Times New Roman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D43CEA">
        <w:rPr>
          <w:rFonts w:asciiTheme="majorBidi" w:eastAsia="Times New Roman" w:hAnsiTheme="majorBidi" w:cs="Times New Roman" w:hint="cs"/>
          <w:sz w:val="24"/>
          <w:szCs w:val="24"/>
          <w:u w:val="single"/>
          <w:rtl/>
        </w:rPr>
        <w:lastRenderedPageBreak/>
        <w:t>שכבה יב:</w:t>
      </w: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מחצית א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 w:hint="eastAsia"/>
          <w:b/>
          <w:bCs/>
          <w:sz w:val="24"/>
          <w:szCs w:val="24"/>
          <w:rtl/>
        </w:rPr>
        <w:t>מלכים</w:t>
      </w: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נביאים 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היסטוריוגרפיה: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מלכים א': 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 xml:space="preserve"> י' 1 -13, י"א 13-1, 43-26, י"ב, ט"ז 33-23, י"ז, י"ח, י"ט, כ"א, 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br/>
      </w: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מלכים ב': 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> ט"ו 1 - 31, י"ז, י"ח, י"ט 35 – 37, כ"א, כ"ב, כ"ג 1 -14, 25 – 30, כ"ד 20-8, כ"ה.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דברי הימים ב':  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>ל"ג 20-1 (יילמד בזיקה למלכים ב' פרק כ"א),</w:t>
      </w: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דברים: 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 xml:space="preserve"> י"ב 12-1, ט"ז 22-21 (הפרקים יילמדו בהקשר לרפורמה של יאשיהו). </w:t>
      </w: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נבואה</w:t>
      </w:r>
      <w:r w:rsidRPr="00D43CEA">
        <w:rPr>
          <w:rFonts w:asciiTheme="majorBidi" w:eastAsia="Times New Roman" w:hAnsiTheme="majorBidi" w:cstheme="majorBidi" w:hint="cs"/>
          <w:sz w:val="24"/>
          <w:szCs w:val="24"/>
          <w:rtl/>
        </w:rPr>
        <w:t>: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עמוס:   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>א' 1- 2, ד' 1 – 11, ה' 21 – 27 (מומלץ ללמד בזיקה לחורבן ישראל)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ישעיה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>:  א' (מומלץ ללמד בזיקה למסע סנחריב), ב' 1 -4</w:t>
      </w:r>
    </w:p>
    <w:p w:rsid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  <w:r w:rsidRPr="00D43CEA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ירמיה</w:t>
      </w:r>
      <w:r w:rsidRPr="00D43CEA">
        <w:rPr>
          <w:rFonts w:asciiTheme="majorBidi" w:eastAsia="Times New Roman" w:hAnsiTheme="majorBidi" w:cstheme="majorBidi"/>
          <w:sz w:val="24"/>
          <w:szCs w:val="24"/>
          <w:rtl/>
        </w:rPr>
        <w:t>:   א' 1 - 3, ז' 1 - 24 , כ"ה 1 – 14, (מומלץ ללמד בזיקה לחורבן יהודה)</w:t>
      </w:r>
    </w:p>
    <w:p w:rsid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D43CE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תאריכים חשובים 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>928 לפנה"ס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פילוג הממלכה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722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חורבן וגלות ממלכת ישראל/שומרון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701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מסע סנחריב ליהודה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622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רפורמה פולחנית של יאשיהו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597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גלות יהויכין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586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חובן וגלות ירושלים</w:t>
      </w:r>
    </w:p>
    <w:p w:rsidR="00D43CEA" w:rsidRPr="00D43CEA" w:rsidRDefault="00D43CEA" w:rsidP="00D4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538 לפנה"ס </w:t>
      </w:r>
      <w:r w:rsidRPr="00D43CEA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D43CE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הצהרת כורש</w:t>
      </w:r>
    </w:p>
    <w:p w:rsidR="00D43CEA" w:rsidRPr="00D43CEA" w:rsidRDefault="00D43CEA" w:rsidP="00D43CEA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942"/>
        <w:gridCol w:w="2131"/>
        <w:gridCol w:w="2131"/>
      </w:tblGrid>
      <w:tr w:rsidR="00D43CEA" w:rsidRPr="00D43CEA" w:rsidTr="00875D19">
        <w:tc>
          <w:tcPr>
            <w:tcW w:w="2318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lastRenderedPageBreak/>
              <w:t>חוק</w:t>
            </w:r>
          </w:p>
        </w:tc>
        <w:tc>
          <w:tcPr>
            <w:tcW w:w="1942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חכמה</w:t>
            </w:r>
          </w:p>
        </w:tc>
        <w:tc>
          <w:tcPr>
            <w:tcW w:w="2131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נביאי אמת ושקר</w:t>
            </w:r>
          </w:p>
        </w:tc>
        <w:tc>
          <w:tcPr>
            <w:tcW w:w="2131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תגובות לחורבן ושיבת ציון</w:t>
            </w:r>
          </w:p>
        </w:tc>
      </w:tr>
      <w:tr w:rsidR="00D43CEA" w:rsidRPr="00D43CEA" w:rsidTr="00875D19">
        <w:tc>
          <w:tcPr>
            <w:tcW w:w="2318" w:type="dxa"/>
          </w:tcPr>
          <w:p w:rsidR="00D43CEA" w:rsidRPr="00D43CEA" w:rsidRDefault="00875D19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פרקי חובה</w:t>
            </w:r>
            <w:bookmarkStart w:id="0" w:name="_GoBack"/>
            <w:bookmarkEnd w:id="0"/>
          </w:p>
        </w:tc>
        <w:tc>
          <w:tcPr>
            <w:tcW w:w="1942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פרקי חובה</w:t>
            </w:r>
          </w:p>
        </w:tc>
        <w:tc>
          <w:tcPr>
            <w:tcW w:w="2131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פרקי חובה</w:t>
            </w:r>
          </w:p>
        </w:tc>
        <w:tc>
          <w:tcPr>
            <w:tcW w:w="2131" w:type="dxa"/>
          </w:tcPr>
          <w:p w:rsidR="00D43CEA" w:rsidRPr="00D43CEA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43CE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פרקי חובה</w:t>
            </w:r>
          </w:p>
        </w:tc>
      </w:tr>
      <w:tr w:rsidR="00D43CEA" w:rsidRPr="00D43CEA" w:rsidTr="00875D19">
        <w:tc>
          <w:tcPr>
            <w:tcW w:w="2318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  <w:t>קריאת שמע: 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דברים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ו' 4 - 15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  <w:t>חוקים סוציאליים: 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דברים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כ"ד 10 – 22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  <w:t>שמיטה: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</w:t>
            </w: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דברים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ט"ו 1 – 11 + פרוזבול.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rtl/>
              </w:rPr>
              <w:t>מלחמה: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</w:t>
            </w: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דברים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כ'</w:t>
            </w:r>
          </w:p>
        </w:tc>
        <w:tc>
          <w:tcPr>
            <w:tcW w:w="1942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איוב: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א', ב', מ"ב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קהלת: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א'</w:t>
            </w: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דברים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 י"ח 9 - 22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ירמיהו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: כ', 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כ"ג 25 – 32, כ"ח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</w:t>
            </w: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יחזקאל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 י"ח 1 - 20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עזרא: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 א 1 – 7, 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ד' 1 – 6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ישעיה: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מ' 1 – 11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חגי: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א'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D43CEA" w:rsidRPr="00D43CEA" w:rsidTr="00875D19">
        <w:tc>
          <w:tcPr>
            <w:tcW w:w="2318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פרקי הרחבה</w:t>
            </w: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פרקי הרחבה</w:t>
            </w:r>
          </w:p>
        </w:tc>
      </w:tr>
      <w:tr w:rsidR="00D43CEA" w:rsidRPr="00D43CEA" w:rsidTr="00875D19">
        <w:tc>
          <w:tcPr>
            <w:tcW w:w="2318" w:type="dxa"/>
          </w:tcPr>
          <w:p w:rsidR="00D43CEA" w:rsidRPr="00875D19" w:rsidRDefault="00D43CEA" w:rsidP="00875D19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br/>
            </w:r>
          </w:p>
        </w:tc>
        <w:tc>
          <w:tcPr>
            <w:tcW w:w="1942" w:type="dxa"/>
          </w:tcPr>
          <w:p w:rsidR="00D43CEA" w:rsidRPr="00875D19" w:rsidRDefault="00D43CEA" w:rsidP="00875D19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D19">
              <w:rPr>
                <w:rFonts w:asciiTheme="majorBidi" w:eastAsia="Times New Roman" w:hAnsiTheme="majorBidi" w:cstheme="majorBidi"/>
                <w:sz w:val="23"/>
                <w:szCs w:val="23"/>
                <w:rtl/>
              </w:rPr>
              <w:t> 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מלכים א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 כ"ב 1 - 40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עמוס: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ז' 7 -17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ירמיהו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 כ"ו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איכה: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ה'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תהילים: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קל"ז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875D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יחזקאל:</w:t>
            </w:r>
            <w:r w:rsidRPr="00875D19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ל"ז 1 - 14</w:t>
            </w:r>
          </w:p>
          <w:p w:rsidR="00D43CEA" w:rsidRPr="00875D19" w:rsidRDefault="00D43CEA" w:rsidP="00D43CEA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D43CEA" w:rsidRDefault="00D43CEA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CD7511" w:rsidRPr="00CD7511" w:rsidRDefault="00CD751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 w:rsidRPr="00CD751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 xml:space="preserve">במהלך כיתות </w:t>
      </w:r>
      <w:proofErr w:type="spellStart"/>
      <w:r w:rsidRPr="00CD751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י,יב</w:t>
      </w:r>
      <w:proofErr w:type="spellEnd"/>
      <w:r w:rsidRPr="00CD7511"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 xml:space="preserve"> צריך להתייחס ל: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שמותיו השונים של הספר: תנ"ך, מקרא, אסופת הקדש;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שמות ספרי התנ"ך , משמעות השמות וסדר הספרים;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חלוקה לפרשיות (פתוחות וסתומות), חלוקה לפסוקים ולפרקים;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 xml:space="preserve">הניקוד והטעמים – הטעמים ללימוד יהיו:  הטעמים המפסיקים של כ"א הספרים סוף פסוק/סילוק, אתנח/אתנחתא, </w:t>
      </w:r>
      <w:proofErr w:type="spellStart"/>
      <w:r w:rsidRPr="00CD7511">
        <w:rPr>
          <w:rFonts w:ascii="Arial" w:eastAsia="Times New Roman" w:hAnsi="Arial" w:cs="Times New Roman"/>
          <w:sz w:val="24"/>
          <w:szCs w:val="24"/>
          <w:rtl/>
        </w:rPr>
        <w:t>זקפים</w:t>
      </w:r>
      <w:proofErr w:type="spellEnd"/>
      <w:r w:rsidRPr="00CD7511">
        <w:rPr>
          <w:rFonts w:ascii="Arial" w:eastAsia="Times New Roman" w:hAnsi="Arial" w:cs="Times New Roman"/>
          <w:sz w:val="24"/>
          <w:szCs w:val="24"/>
          <w:rtl/>
        </w:rPr>
        <w:t xml:space="preserve"> , הכרת שמותיהם ותפקידם בקריאה רהוטה בתנ"ך;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התקדשותה ההדרגתית של אסופת המקרא (תהליך הקנוניזציה);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מגילות מדבר יהודה והספרים החיצוניים וזיקתם למקרא;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נוסח המסורה כמסורת טקסטואלית אחת לצד קיומם של עדי נוסח עבריים אחרים: הנוסח השומרוני של התורה ומגילות מדבר יהודה;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 xml:space="preserve">התרגומים העתיקים למקרא וחשיבותם ללימודו: תרגום השבעים, אונקלוס ותרגום יונתן; 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הבדלי נוסח בין טקסטים בנוסח המסורה לבין עדי הנוסח אחרים ושיבושי מעתיקים;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עבודתם של בעלי המסורה ומטרתם (קרי וכתיב, תיקוני סופרים, אותיות תלויות, אותיות רבתי, אותיות זעירות וכו');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הכרת מהדורות שונות של התנ"ך המבוססות על כתבי יד שונים ועל ההבדלים ביניהם במספור הפסוקים, בחלוקה לפרקים ובאופן הדפסת הטקסט;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תרומתן של כתובות עבריות ושל ספרות המזרח הקדום להבנת ספרות המקרא;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ספרות ימי הבית השני (ספרות חיצונית, מגילות מדבר יהודה) ותרומתה להבנת עולמה של הספרות המקראית;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 xml:space="preserve">פרשנות המקרא: פרשנות חז"ל (פשט ודרש), פרשנות ימי הביניים (כגון: רש"י, </w:t>
      </w:r>
      <w:proofErr w:type="spellStart"/>
      <w:r w:rsidRPr="00CD7511">
        <w:rPr>
          <w:rFonts w:ascii="Arial" w:eastAsia="Times New Roman" w:hAnsi="Arial" w:cs="Times New Roman"/>
          <w:sz w:val="24"/>
          <w:szCs w:val="24"/>
          <w:rtl/>
        </w:rPr>
        <w:t>ראב"ע</w:t>
      </w:r>
      <w:proofErr w:type="spellEnd"/>
      <w:r w:rsidRPr="00CD7511">
        <w:rPr>
          <w:rFonts w:ascii="Arial" w:eastAsia="Times New Roman" w:hAnsi="Arial" w:cs="Times New Roman"/>
          <w:sz w:val="24"/>
          <w:szCs w:val="24"/>
          <w:rtl/>
        </w:rPr>
        <w:t>, רד"ק ואברבנאל), ופרשנות מודרנית (מסורתית וביקורתית);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  <w:rtl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lastRenderedPageBreak/>
        <w:t>ביקורת המקרא, מסורות, עריכה משנה-תורתית (</w:t>
      </w:r>
      <w:proofErr w:type="spellStart"/>
      <w:r w:rsidRPr="00CD7511">
        <w:rPr>
          <w:rFonts w:ascii="Arial" w:eastAsia="Times New Roman" w:hAnsi="Arial" w:cs="Times New Roman"/>
          <w:sz w:val="24"/>
          <w:szCs w:val="24"/>
          <w:rtl/>
        </w:rPr>
        <w:t>דברימית</w:t>
      </w:r>
      <w:proofErr w:type="spellEnd"/>
      <w:r w:rsidRPr="00CD7511">
        <w:rPr>
          <w:rFonts w:ascii="Arial" w:eastAsia="Times New Roman" w:hAnsi="Arial" w:cs="Times New Roman"/>
          <w:sz w:val="24"/>
          <w:szCs w:val="24"/>
          <w:rtl/>
        </w:rPr>
        <w:t xml:space="preserve"> או דויטרונומיסטית) כאמצעי להבנת הכתוב, כוונות המחברים, עולמם והשקפותיהם;</w:t>
      </w:r>
    </w:p>
    <w:p w:rsidR="00CD7511" w:rsidRPr="00CD7511" w:rsidRDefault="00CD7511" w:rsidP="00CD75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Times New Roman"/>
          <w:sz w:val="24"/>
          <w:szCs w:val="24"/>
        </w:rPr>
      </w:pPr>
      <w:r w:rsidRPr="00CD7511">
        <w:rPr>
          <w:rFonts w:ascii="Arial" w:eastAsia="Times New Roman" w:hAnsi="Arial" w:cs="Times New Roman"/>
          <w:sz w:val="24"/>
          <w:szCs w:val="24"/>
          <w:rtl/>
        </w:rPr>
        <w:t>קריאה בציבור (בבתי כנסת) - תולדות קריאת התורה וחלוקתה לפרשות, ההפטרות, מסורותיהן השונות (ספרד ואשכנז), הזיקה בין הפרשה להפטרה, וכן חמש המגילות ומועדי קריאתן;</w:t>
      </w:r>
    </w:p>
    <w:p w:rsidR="00CD7511" w:rsidRDefault="00CD751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u w:val="single"/>
          <w:rtl/>
        </w:rPr>
      </w:pPr>
      <w:r>
        <w:rPr>
          <w:rFonts w:asciiTheme="majorBidi" w:eastAsia="Times New Roman" w:hAnsiTheme="majorBidi" w:cstheme="majorBidi" w:hint="cs"/>
          <w:sz w:val="24"/>
          <w:szCs w:val="24"/>
          <w:u w:val="single"/>
          <w:rtl/>
        </w:rPr>
        <w:t>ובנוסף, לוודא שהתלמידים יודעים את המושגים הבאים:</w:t>
      </w:r>
    </w:p>
    <w:p w:rsidR="00CD7511" w:rsidRPr="00CD7511" w:rsidRDefault="00CD7511" w:rsidP="00CD75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1. קרי וכתיב</w:t>
      </w:r>
    </w:p>
    <w:p w:rsidR="00CD7511" w:rsidRPr="00CD7511" w:rsidRDefault="00CD7511" w:rsidP="00CD75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2. תיקון סופרים</w:t>
      </w:r>
    </w:p>
    <w:p w:rsidR="00CD7511" w:rsidRPr="00CD7511" w:rsidRDefault="00CD7511" w:rsidP="00CD75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3. סיפור אטיולוגי</w:t>
      </w:r>
    </w:p>
    <w:p w:rsidR="00CD7511" w:rsidRPr="00CD7511" w:rsidRDefault="00CD7511" w:rsidP="00CD751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4. סיפור מיתולוגי – מיתוס, דה מיתולוגיזציה, שריד מיתולוגי,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אנומה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אליש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, עלילות גלגמש.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5. אמונה מונותאיסטית,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פאגאנית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,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תיאוגוניה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, סינקרטיזם, מאגיה, אמונה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פולותיאסטית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, (אל,   בעל, אשרה,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מרדוך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,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תיהמת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)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6.  מספר טיפולוגי.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7. מדרש שם (סיפור אטימולוגי).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8. אקספוזיציה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9. שורש מנחה, מילה או מוטיב מנחה.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10. תקבולות: נרדפת, ניגודית, חסרה, משלימה, כיאסטית.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11. מבנה כיאסטי.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12. חוק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אפודיקטי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13. חוק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קזואיסטי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, חוקי המזרח הקדום, לדוגמה: חוקי חמורבי, חתים.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14. נביא אמת, נביא שקר, נביא מסית, מדיח, נבואת פורענות, נבואת נחמה, נבואה אסכטולוגית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      (אחרית הימים, יום ה').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15. פשט, דרש.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16. נוסח המסורה.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17. גישה מסורתית, גישה ביקורתית – חקר המקרא – תורת המקורות.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18. טעמי המקרא: סילוק, אתנחתא, זקף קטן, זקף גדול, טפחא.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19. דמות ראשית, משנית ותפקידיהן בסיפור, דמות כריזמטית.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20. ספרות החוכמה, הספרות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המזמורית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, ספרות כוהנית, ספר הברית.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21. רשימה גינאולוגית, כרונולוגיה.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22. פרשה פתוחה, פרשה סתומה, פסקאות.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23. קשר בין כתובים: סיבה ותוצאה, כלל ופרט, חטא ועונש, נבואה והתגשמותה, משל ונמשל, סמל ומסומל, כפילות שניות, סמיכות פרשיות.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24. שם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תיאופורי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25. קשיים בכתוב כגון: קושי לשוני, קושי תחבירי, קושי תיאולוגי.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26. האנשה, הגשמה.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27. תורת הגמול המקראית: שכר, עונש, גמול אישי, גמול קיבוצי, גמול דורי, עקרון התשובה, מידה כנגד מידה, רעיון הבחירה החופשית לעומת השקפה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דטרמניסטית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28. אמצעים ספרותיים אומנותיים: מטאפורה, האנשה, לשון נופל על לשון, חזרות, שאלות רטוריות, משל ונמשל, תקבולות, סמל. אירוניה, הגזמה, סיפור מסגרת, פזמון, סצנת דפוס, דיאלוג, פער סיפורי.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29. היסטוריוסופיה, היסטוריוגרפיה, השקפה היסטוריוסופית – תיאולוגית.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30. מצוות שבין אדם למקום, מצוות שבין אדם לחברו, מוסר לעומת פולחן, רוח (אמונה בה')</w:t>
      </w:r>
      <w:r w:rsidRPr="00CD751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לעומת כוח (חומר).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31. עם סגולה.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32. בריתות: ברית אבות, ברית בין הבתרים, ברית מילה, ברית סיני, ברית חדשה.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33. אל אוניברסאלי לעומת אל מקומי (=תפיסה אנתרופומורפית).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34. רפורמה  דתית – הרפורמה של חזקיה ויאשיהו.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35. השקפה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דויטרונומיסית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– חוק ריכוז הפולחן (=משנה תורתי ברוח ספר דברים).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36. נוסחאות פתיחה וסיום.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lastRenderedPageBreak/>
        <w:t>37. סוגי קורבנות: לדוגמה קורבן עולה, זבח, תמיד, שלמים.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38. שושלת בית דוד – ממלכת יהודה.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     ממלכת ישראל – עשרת השבטים, ממלכת אפרים, בית יוסף, הממלכה הצפונית, ממלכת שומרון.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39. חורבן שומרון – גלות ישראל לאשור.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      חורבן ממלכת יהודה – חורבן בית ראשון גלות בבל.</w:t>
      </w:r>
      <w:r w:rsidRPr="00CD7511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    </w:t>
      </w: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       צידוק הדין (=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תיאודיציה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</w:rPr>
        <w:t>(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40 שיבת ציון, הצהרת כורש.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41. מעשה אבות סימן לבנים.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42. שמיטה, מעשר, פרוזבול, יובל, מצוות התלויות בארץ, מצוות שהזמן גרמן, משפט המלך, חוק המלך.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43. תרגומי המקרא, לדוגמה תרגום השבעים ליוונית, תרגום לארמית – </w:t>
      </w:r>
      <w:proofErr w:type="spellStart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אונקולוס</w:t>
      </w:r>
      <w:proofErr w:type="spellEnd"/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 xml:space="preserve"> יונתן בן עוזיאל.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44. מגילות מדבר יהודה (= מגילות גנוזות, כתבי קומראן)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45. קנוניזציה.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46. דיברה תורה בלשון בני אדם, רמיזה פנים מקראית.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47. הבטה לאחור (=פלשבק)</w:t>
      </w:r>
    </w:p>
    <w:p w:rsidR="00CD7511" w:rsidRPr="00CD7511" w:rsidRDefault="00CD7511" w:rsidP="00CD7511">
      <w:pPr>
        <w:spacing w:after="0" w:line="240" w:lineRule="auto"/>
        <w:ind w:left="226" w:hanging="284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7511">
        <w:rPr>
          <w:rFonts w:asciiTheme="majorBidi" w:eastAsia="Times New Roman" w:hAnsiTheme="majorBidi" w:cstheme="majorBidi"/>
          <w:sz w:val="24"/>
          <w:szCs w:val="24"/>
          <w:rtl/>
        </w:rPr>
        <w:t>48. אנכרוניזם (=הקדמת המאוחר).</w:t>
      </w:r>
    </w:p>
    <w:p w:rsidR="00CD7511" w:rsidRPr="00CD7511" w:rsidRDefault="00CD751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  <w:rtl/>
        </w:rPr>
      </w:pPr>
    </w:p>
    <w:p w:rsidR="00CD7511" w:rsidRPr="00CD7511" w:rsidRDefault="00CD7511" w:rsidP="00E46641">
      <w:pPr>
        <w:spacing w:after="0" w:line="360" w:lineRule="auto"/>
        <w:ind w:left="-288"/>
        <w:rPr>
          <w:rFonts w:asciiTheme="majorBidi" w:eastAsia="Times New Roman" w:hAnsiTheme="majorBidi" w:cstheme="majorBidi"/>
          <w:sz w:val="24"/>
          <w:szCs w:val="24"/>
        </w:rPr>
      </w:pPr>
    </w:p>
    <w:sectPr w:rsidR="00CD7511" w:rsidRPr="00CD7511" w:rsidSect="001578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5F0D"/>
    <w:multiLevelType w:val="multilevel"/>
    <w:tmpl w:val="85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75"/>
    <w:rsid w:val="001578C9"/>
    <w:rsid w:val="004D1875"/>
    <w:rsid w:val="007640DF"/>
    <w:rsid w:val="00875D19"/>
    <w:rsid w:val="00CD7511"/>
    <w:rsid w:val="00D43CEA"/>
    <w:rsid w:val="00D64146"/>
    <w:rsid w:val="00E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1258</Words>
  <Characters>6293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פורמן</dc:creator>
  <cp:lastModifiedBy>פורמן</cp:lastModifiedBy>
  <cp:revision>5</cp:revision>
  <dcterms:created xsi:type="dcterms:W3CDTF">2016-08-31T11:32:00Z</dcterms:created>
  <dcterms:modified xsi:type="dcterms:W3CDTF">2016-08-31T12:08:00Z</dcterms:modified>
</cp:coreProperties>
</file>