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MAKIF IRONI ALEPH ASHKELON            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u w:val="single"/>
          <w:rtl w:val="0"/>
        </w:rPr>
        <w:t xml:space="preserve">    YEAR PLAN YUD ALEPH (5 POINTS)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COURSE BOOK : U..P.P LITERATURE PROGRAMME  OPTION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THE WAVE- READER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TEACHERS:    TANYA PERES, CORINNE MALACH, RHEMA SHUKROV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Weekly hours :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SEPTEMBER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Summer’s Reading by Bernard Malamud. Bridging Text and Context (Great Depression, Immigration to the U.S. , The American Dream)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OCTOBER/NOVEMBER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Wave - Bridging Text and Context. Extensive Background work  on the Hitler Youth, Nazism, Holocaust, Influence of  Cults. Application of HOTS and literary terminology.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DECEMBER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JANUARY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Road Not Taken- Bridging Text and Context, Literary Terms, Emphasis on use of Metaphors, Poetic structure.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I Grew Older- Bridging Text and Context. Background work on the Harlem Renaissance, Oppression of American Blacks, Civil Rights Movement, HOTS , Poetic Structure.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FEBRUARY/MARCH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Mr. Know All- Bridging Text and Context, Structure of Short Story, Biographical Details, Stereotyping. HOTS.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Rules of the Game- Bridging Text and Context, Chinese Immigration to the U.S.A, Stereotyping, Cultural Conflicts.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After Pesach intensive revision of all the literary works will take place  as well as revision of grammar skills.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Exams First Semester:  Two exams + retest.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Second Semester: Two exams + retest,   Bagrut Exam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